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F4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bookmarkEnd w:id="0"/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</w:t>
      </w:r>
      <w:proofErr w:type="spellStart"/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народных депутатов 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2018 год и на плановый период 2019 и 2020 годов»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 основанием принятия Решения, обоснованием необходимости принятия Решения являются Бюджетный кодекс Российской Федерации, Решение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народных депутатов «О бюджетном процессе в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Судженском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сельском поселении».</w:t>
      </w:r>
    </w:p>
    <w:p w:rsidR="00FF45E1" w:rsidRPr="00FF45E1" w:rsidRDefault="00FF45E1" w:rsidP="00FF45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Доходы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бюджета поселения планируются на 2018 год в сумме 2153,3 тыс. рублей, на 2019 год – 1622,3 тыс. рублей, 2020 год  - 1677,2 тыс. рублей. 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 доходов бюджета поселения  составлен в соответствии с основными направлениями налоговой и бюджетной политики с учетом изменений на планируемый период, уточненным прогнозом социально-экономического развития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2018 год и на плановый период 2019 и 2020 годов, в соответствии с Методикой прогнозирования налоговых и неналоговых доходов бюджета поселения, утвержденной Постановлением Администрации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№13 от 31.05.2017г.</w:t>
      </w:r>
      <w:proofErr w:type="gramEnd"/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формировании расчета бюджета использована информация налоговой службы, представляемая  в соответствии с правилами взаимодействия 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 от 12.08.2004г. №410, а также сведения,  представленные в соответствии с п.160</w:t>
      </w:r>
      <w:r w:rsidRPr="00FF45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   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Бюджетного кодекса главными администраторами доходов бюджета поселения.</w:t>
      </w:r>
      <w:proofErr w:type="gramEnd"/>
    </w:p>
    <w:p w:rsidR="00FF45E1" w:rsidRPr="00FF45E1" w:rsidRDefault="00FF45E1" w:rsidP="00FF4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Налоговые и неналоговые доходы 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Сумма налоговых и неналоговых доходов, прогнозируемая к поступлению в бюджет поселения определена: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на 2018 год  в сумме  926,0 тыс. рублей  (100% налоговые доходы), что составляет 43,0%  от общего объема доходов;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2019 год в сумме  971,0 тыс. рублей (100% налоговые доходы), что составляет  59,8% от общего объема доходов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2020 год в сумме  1036,0 тыс. рублей (100% налоговые доходы), что составляет 61,7% от общего объема доходов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на доходы физических лиц, зачисляемый в доход бюджета поселения, рассчитан исходя из оценки поступления налога в 2017 году с учетом данных прогноза социально-экономического развития поселения на 2018-2020 годы. 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поступлений налога на доходы физических лиц, подлежащая зачислению в бюджет поселения, на 2018 год прогнозируется в сумме 75,0 тыс. рублей,  на 2019 год  в сумме 76 тыс. рублей, на 2020 год в сумме 78,0 тыс. рублей.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Акцизы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Прогноз поступления акцизов на нефтепродукты рассчитан исходя из ожидаемой оценки поступления акцизов в 2017 году, ставок акцизов, установленных статьей 193 Налогового кодекса Российской Федерации по видам подакцизной продукции, и нормативов отчисления акцизов на подакцизные товары в бюджеты субъектов Российской Федерации. Прогноз доходов от уплаты акцизов на 2018 год  в сумме – 684,0 тыс. рублей, 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 год – 726,0 тыс. рублей, на 2020 год – 789,0 тыс. рублей.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</w:p>
    <w:p w:rsidR="00FF45E1" w:rsidRPr="00FF45E1" w:rsidRDefault="00FF45E1" w:rsidP="00FF45E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имущество является местным налогом и поступает в бюджет поселения по нормативу 100%. Поступление налога определено  на основании начисленных сумм по данным  Межрайонной налоговой инспекции ФНС России № 9 по Кемеровской области.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Поступление налога на имущество физических лиц на 2018 год планируется  8,0 тыс. рублей, на 2019 год - 10,0 тыс. рублей, на 2020 год - 10,0 тыс. рублей.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налог является местным налогом и поступает в бюджет поселения по нормативу 100%, расчет налога произведен на основании данных Межрайонной налоговой инспекции ФНС России № 9 по Кемеровской области. На 2018 год запланировано - 158,0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2019 год- 158,0 тыс. рублей, на 2019 год – 158,0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 на 2018 год - 1,0 тыс. рублей, на 2019 год – 1,0 тыс. рублей, на 2020 год – 1,0 тыс. рублей.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 занимает небольшой удельный вес в общем объеме доходов, в связи низкой потребностью населения в данной услуге. Уменьшается   обращение населения   на оформление  имущества в собственность, оформления доверенностей. </w:t>
      </w:r>
    </w:p>
    <w:p w:rsidR="00FF45E1" w:rsidRPr="00FF45E1" w:rsidRDefault="00FF45E1" w:rsidP="00FF45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Безвозмездные поступления</w:t>
      </w:r>
    </w:p>
    <w:p w:rsidR="00FF45E1" w:rsidRPr="00FF45E1" w:rsidRDefault="00FF45E1" w:rsidP="00FF45E1">
      <w:pPr>
        <w:widowControl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безвозмездных поступлениях отражены суммы перечислений из районного бюджета в форме дотаций и субвенций. Прогнозируется поступление  на 2018 год в сумме 1227,3 тыс. рублей (57,0%  от общего объема доходов), на 2019 год в сумме 651,3 тыс. рублей (40,1% от общего объема доходов), на 2020 год – 641,2 тыс. рублей (38,2% от общего объема доходов).</w:t>
      </w:r>
    </w:p>
    <w:p w:rsidR="00FF45E1" w:rsidRPr="00FF45E1" w:rsidRDefault="00FF45E1" w:rsidP="00FF4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межбюджетных трансфертов представлен в следующей таблице</w:t>
      </w:r>
      <w:r w:rsidRPr="00FF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FF45E1" w:rsidRPr="00FF45E1" w:rsidRDefault="00FF45E1" w:rsidP="00FF45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(</w:t>
      </w:r>
      <w:r w:rsidRPr="00FF45E1">
        <w:rPr>
          <w:rFonts w:ascii="Times New Roman" w:eastAsia="Times New Roman" w:hAnsi="Times New Roman" w:cs="Times New Roman"/>
          <w:lang w:eastAsia="ru-RU"/>
        </w:rPr>
        <w:t>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530"/>
        <w:gridCol w:w="1432"/>
        <w:gridCol w:w="1559"/>
      </w:tblGrid>
      <w:tr w:rsidR="00FF45E1" w:rsidRPr="00FF45E1" w:rsidTr="00C12633">
        <w:trPr>
          <w:trHeight w:val="304"/>
        </w:trPr>
        <w:tc>
          <w:tcPr>
            <w:tcW w:w="4801" w:type="dxa"/>
          </w:tcPr>
          <w:p w:rsidR="00FF45E1" w:rsidRPr="00FF45E1" w:rsidRDefault="00FF45E1" w:rsidP="00F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1530" w:type="dxa"/>
          </w:tcPr>
          <w:p w:rsidR="00FF45E1" w:rsidRPr="00FF45E1" w:rsidRDefault="00FF45E1" w:rsidP="00F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год</w:t>
            </w:r>
          </w:p>
        </w:tc>
        <w:tc>
          <w:tcPr>
            <w:tcW w:w="1432" w:type="dxa"/>
          </w:tcPr>
          <w:p w:rsidR="00FF45E1" w:rsidRPr="00FF45E1" w:rsidRDefault="00FF45E1" w:rsidP="00F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год</w:t>
            </w:r>
          </w:p>
        </w:tc>
        <w:tc>
          <w:tcPr>
            <w:tcW w:w="1559" w:type="dxa"/>
          </w:tcPr>
          <w:p w:rsidR="00FF45E1" w:rsidRPr="00FF45E1" w:rsidRDefault="00FF45E1" w:rsidP="00FF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</w:tr>
      <w:tr w:rsidR="00FF45E1" w:rsidRPr="00FF45E1" w:rsidTr="00C12633">
        <w:trPr>
          <w:trHeight w:val="1200"/>
        </w:trPr>
        <w:tc>
          <w:tcPr>
            <w:tcW w:w="4801" w:type="dxa"/>
          </w:tcPr>
          <w:p w:rsidR="00FF45E1" w:rsidRPr="00FF45E1" w:rsidRDefault="00FF45E1" w:rsidP="00FF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FF45E1" w:rsidRPr="00FF45E1" w:rsidRDefault="00FF45E1" w:rsidP="00FF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дотаций в общей сумме межбюджетных трансфертов</w:t>
            </w:r>
            <w:proofErr w:type="gramStart"/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530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1156,0</w:t>
            </w: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94,2</w:t>
            </w:r>
          </w:p>
        </w:tc>
        <w:tc>
          <w:tcPr>
            <w:tcW w:w="1432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580,0</w:t>
            </w: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</w:t>
            </w:r>
          </w:p>
        </w:tc>
        <w:tc>
          <w:tcPr>
            <w:tcW w:w="1559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569,9</w:t>
            </w: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88,9</w:t>
            </w:r>
          </w:p>
        </w:tc>
      </w:tr>
      <w:tr w:rsidR="00FF45E1" w:rsidRPr="00FF45E1" w:rsidTr="00C12633">
        <w:trPr>
          <w:trHeight w:val="896"/>
        </w:trPr>
        <w:tc>
          <w:tcPr>
            <w:tcW w:w="4801" w:type="dxa"/>
          </w:tcPr>
          <w:p w:rsidR="00FF45E1" w:rsidRPr="00FF45E1" w:rsidRDefault="00FF45E1" w:rsidP="00FF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FF45E1" w:rsidRPr="00FF45E1" w:rsidRDefault="00FF45E1" w:rsidP="00FF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субвенций в общей сумме межбюджетных трансфертов</w:t>
            </w:r>
            <w:proofErr w:type="gramStart"/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530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71,3</w:t>
            </w: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432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71,3</w:t>
            </w: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1559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71,3</w:t>
            </w: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</w:tr>
      <w:tr w:rsidR="00FF45E1" w:rsidRPr="00FF45E1" w:rsidTr="00C12633">
        <w:trPr>
          <w:trHeight w:val="304"/>
        </w:trPr>
        <w:tc>
          <w:tcPr>
            <w:tcW w:w="4801" w:type="dxa"/>
          </w:tcPr>
          <w:p w:rsidR="00FF45E1" w:rsidRPr="00FF45E1" w:rsidRDefault="00FF45E1" w:rsidP="00FF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межбюджетных трансфертов</w:t>
            </w:r>
          </w:p>
        </w:tc>
        <w:tc>
          <w:tcPr>
            <w:tcW w:w="1530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1227,3</w:t>
            </w:r>
          </w:p>
        </w:tc>
        <w:tc>
          <w:tcPr>
            <w:tcW w:w="1432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651,3</w:t>
            </w:r>
          </w:p>
        </w:tc>
        <w:tc>
          <w:tcPr>
            <w:tcW w:w="1559" w:type="dxa"/>
          </w:tcPr>
          <w:p w:rsidR="00FF45E1" w:rsidRPr="00FF45E1" w:rsidRDefault="00FF45E1" w:rsidP="00FF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641,2</w:t>
            </w:r>
          </w:p>
        </w:tc>
      </w:tr>
    </w:tbl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Расходы.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F45E1" w:rsidRPr="00FF45E1" w:rsidRDefault="00FF45E1" w:rsidP="00FF45E1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FF45E1" w:rsidRPr="00FF45E1" w:rsidRDefault="00FF45E1" w:rsidP="00FF45E1">
      <w:pPr>
        <w:tabs>
          <w:tab w:val="left" w:pos="7265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направленных на поступательное развитие социальной сферы,  коммунальной и дорожной инфраструктуры. </w:t>
      </w:r>
    </w:p>
    <w:p w:rsidR="00FF45E1" w:rsidRPr="00FF45E1" w:rsidRDefault="00FF45E1" w:rsidP="00FF4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F45E1">
        <w:rPr>
          <w:rFonts w:ascii="Times New Roman" w:eastAsia="Times New Roman" w:hAnsi="Times New Roman" w:cs="Times New Roman"/>
          <w:sz w:val="26"/>
          <w:szCs w:val="26"/>
        </w:rPr>
        <w:t>Продолжена политика не наращивания расходов на содержание аппарата администрации,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муниципальных нужд.</w:t>
      </w:r>
    </w:p>
    <w:p w:rsidR="00FF45E1" w:rsidRPr="00FF45E1" w:rsidRDefault="00FF45E1" w:rsidP="00FF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на 2018 год определен в сумме 2153,3 тыс. рублей, на 2019 год – 1622,3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2020 год – 1677,2 тыс. рублей.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0100 «Общегосударственные расходы»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обеспечение руководства и управления в сфере установленных функций распределены в соответствии с бюджетной классификацией Российской Федерации согласно основным функциям, выполняемым исполнительными органами местного самоуправления.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предусмотрены  в рамках  непрограммного направления деятельности на 2018 год – 1206,4 тыс. руб. (56,0% от общего объема расходов), на 2019 год – 597,4 тыс. руб. (36,8% от общего объема расходов),  на 2020 год – 592,5 тыс. руб. (35,3% от общего объема расходов):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деятельности органов местного самоуправления;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 на главу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труда муниципальных служащих;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резервный фонд администрации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единовременное поощрение муниципальных служащих при выходе на пенсию.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0200 «Национальная оборона»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0203 отражаются расходы на осуществление первичного воинского учета на территориях, где отсутствуют военные комиссариаты в рамках  непрограммного направления деятельности на 2018 год – 71,3 тыс. руб. (3,3% от общего объема расходов), на 2019 год – 71,3  тыс. руб. (4,4% от общего объема расходов), на 2020 год – 71,3 тыс. руб. (4,3 % от общего объема расходов).</w:t>
      </w:r>
      <w:proofErr w:type="gramEnd"/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0300 «Национальная безопасность и правоохранительная деятельность»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0309 предусмотрены расходы на предупреждение и ликвидацию чрезвычайных ситуаций и стихийных бедствий в рамках муниципальной программы «Пожарная безопасность и  защита населения территории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чрезвычайных ситуаций» на 2018 год - 5,0 тыс. руб. (0,2% от общего объема расходов), на 2019 год – 5,0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(0,3% от общего объема расходов), на 2020 год – 5,0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(0,3% от общего объема расходов). 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0400 «Национальная экономика»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0409  предусмотрены расходы на содержание и текущий ремонт автомобильных дорог в рамках  муниципальной программы «Строительство и содержание автомобильных дорог и инженерных сооружений в границах поселения»  на 2018 год - 684,0 тыс. руб. (31,7% от общего объема расходов), на 2019 год - 726,0 тыс. руб. (44,7% от общего объема расходов), на 2020 год - 789,0 тыс. руб. (47,0% от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объема расходов).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0500 «Жилищно-коммунальное хозяйство»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0503 предусмотрены расходы на организацию освещения улиц, содержание мест захоронения и  на благоустройство поселения в рамках  муниципальной программы «Благоустройство территории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на 2018 год – 162,8 тыс. руб. (7,5 % от общего объема расходов), на 2019 год - 162,0 тыс. руб. (10,0 % от общего объема расходов), на 2020 год – 117,3 тыс. руб. (7,0 % от общего объема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расходов).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0700 «Образование»</w:t>
      </w:r>
    </w:p>
    <w:p w:rsidR="00FF45E1" w:rsidRPr="00FF45E1" w:rsidRDefault="00FF45E1" w:rsidP="00FF45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0707 в целях реализации  муниципальной программы «Молодежная политика и развитие физической культуры и спорта в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Судженском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предусмотрены расходы на проведение мероприятий для детей и молодежи на 2018 год - 3,0 тыс. руб. (0,1% от общего объема расходов), на 2019 год - 2,0 тыс. руб. (0,1% от общего объема расходов), на 2020 год - 2,0 тыс. руб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0,1% от общего объема расходов).</w:t>
      </w:r>
      <w:proofErr w:type="gramEnd"/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1000 «Социальная политика»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1001 для реализации  муниципальной программы «Социальная поддержка и социальное обслуживание граждан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на доплату к пенсиям муниципальных служащих   предусмотрены расходы на 2018 год – 17,8 тыс. руб. (0,8% от общего объема расходов), на 2019 год – 17,8 тыс. руб. (1,1% от общего объема расходов), на 2020 год – 17,8 тыс. руб. (1,0% от общего объема расходов).</w:t>
      </w:r>
      <w:proofErr w:type="gramEnd"/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1100 «Физическая культура  и спорт»</w:t>
      </w:r>
    </w:p>
    <w:p w:rsidR="00FF45E1" w:rsidRPr="00FF45E1" w:rsidRDefault="00FF45E1" w:rsidP="00FF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1102 в рамках муниципальной программы «Молодежная политика и развитие физической культуры и спорта в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Судженском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предусмотрены расходы на проведение физкультурно-оздоровительных и спортивных мероприятий на 2018 год - 3,0  тыс. руб. (0,1% от общего объема расходов), на 2019 год - 2,0 тыс. руб. (0,1% от общего объема расходов)</w:t>
      </w: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- 2,0 тыс. руб. (0,1% от</w:t>
      </w:r>
      <w:proofErr w:type="gram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объема расходов).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бюджете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предусмотрены </w:t>
      </w:r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условн</w:t>
      </w:r>
      <w:proofErr w:type="gramStart"/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о-</w:t>
      </w:r>
      <w:proofErr w:type="gramEnd"/>
      <w:r w:rsidRPr="00FF4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утвержденные расходы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38,8 тыс. руб. или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в 2019 году и 80,3 тыс. руб. или 5% от общего объема расходов бюджета 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 учета расходов бюджета, предусмотренных за счет межбюджетных трансфертов из других бюджетов бюджетной системы РФ, имеющих целевое назначение) в 2020 году.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бюджета на 2018 год и на плановый период 2019 и 2020 годов не предусматривает предоставление бюджетных кредитов, бюджет является сбалансированным.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связи с недостаточной доходной базой бюджета поселения расходы бюджета были запланированы из расчета на 6 месяцев, а доплаты к пенсиям муниципальных служащих на 3 месяца.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F45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М.А. Тимофеев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5E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FF45E1" w:rsidRPr="00FF45E1" w:rsidRDefault="00FF45E1" w:rsidP="00FF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5E1">
        <w:rPr>
          <w:rFonts w:ascii="Times New Roman" w:eastAsia="Times New Roman" w:hAnsi="Times New Roman" w:cs="Times New Roman"/>
          <w:sz w:val="20"/>
          <w:szCs w:val="20"/>
          <w:lang w:eastAsia="ru-RU"/>
        </w:rPr>
        <w:t>И.Н. Захарова</w:t>
      </w: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F45E1" w:rsidRPr="00FF45E1" w:rsidRDefault="00FF45E1" w:rsidP="00FF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083E24" w:rsidRDefault="00083E24"/>
    <w:sectPr w:rsidR="00083E24" w:rsidSect="00DD6AD1">
      <w:pgSz w:w="11906" w:h="16838"/>
      <w:pgMar w:top="567" w:right="56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E1"/>
    <w:rsid w:val="00083E24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1682</Words>
  <Characters>9589</Characters>
  <Application>Microsoft Office Word</Application>
  <DocSecurity>0</DocSecurity>
  <Lines>79</Lines>
  <Paragraphs>22</Paragraphs>
  <ScaleCrop>false</ScaleCrop>
  <Company>---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2017-12-04T07:14:00Z</dcterms:created>
  <dcterms:modified xsi:type="dcterms:W3CDTF">2017-12-04T07:14:00Z</dcterms:modified>
</cp:coreProperties>
</file>